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75"/>
        <w:gridCol w:w="7824"/>
      </w:tblGrid>
      <w:tr>
        <w:trPr>
          <w:cantSplit/>
        </w:trPr>
        <w:tc>
          <w:tcPr>
            <w:tcW w:type="dxa" w:w="3175"/>
            <w:vAlign w:val="top"/>
            <w:tcMar>
              <w:top w:w="110" w:type="dxa"/>
              <w:start w:w="125" w:type="dxa"/>
              <w:bottom w:w="100" w:type="dxa"/>
              <w:end w:w="125" w:type="dxa"/>
            </w:tcMar>
            <w:shd w:fill="3B7391"/>
          </w:tcPr>
          <w:p>
            <w:pPr>
              <w:keepLines w:val="0"/>
              <w:spacing w:before="0" w:after="4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32000" cy="177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dsho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177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Lines/>
              <w:spacing w:before="100" w:after="50" w:line="240" w:lineRule="auto"/>
              <w:pBdr>
                <w:bottom w:val="single" w:sz="5" w:space="2" w:color="DDEBF2"/>
              </w:pBdr>
            </w:pPr>
            <w:r>
              <w:rPr>
                <w:rFonts w:ascii="Calibri" w:hAnsi="Calibri" w:eastAsia="微软雅黑"/>
                <w:b/>
                <w:color w:val="DDEBF2"/>
                <w:sz w:val="20"/>
              </w:rPr>
              <w:t>教育背景</w:t>
            </w:r>
          </w:p>
          <w:p>
            <w:pPr>
              <w:keepLines/>
              <w:spacing w:before="0" w:after="20" w:line="259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北京理工大学</w:t>
            </w:r>
          </w:p>
          <w:p>
            <w:pPr>
              <w:keepLines/>
              <w:spacing w:before="0" w:after="20" w:line="259" w:lineRule="auto"/>
            </w:pPr>
            <w:r>
              <w:rPr>
                <w:rFonts w:ascii="Calibri" w:hAnsi="Calibri" w:eastAsia="微软雅黑"/>
                <w:b w:val="0"/>
                <w:color w:val="FFFFFF"/>
                <w:sz w:val="18"/>
              </w:rPr>
              <w:t>信息与电子学院 · 电子信息工程</w:t>
            </w:r>
          </w:p>
          <w:p>
            <w:pPr>
              <w:keepLines/>
              <w:spacing w:before="0" w:after="24" w:line="259" w:lineRule="auto"/>
            </w:pPr>
            <w:r>
              <w:rPr>
                <w:rFonts w:ascii="Calibri" w:hAnsi="Calibri" w:eastAsia="微软雅黑"/>
                <w:b w:val="0"/>
                <w:color w:val="DDEBF2"/>
                <w:sz w:val="18"/>
              </w:rPr>
              <w:t>本科在读  |  2025.09—至今</w:t>
            </w:r>
          </w:p>
          <w:p>
            <w:pPr>
              <w:keepLines/>
              <w:spacing w:before="0" w:after="20" w:line="259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纯成绩  2 / 230 · 前 0.87%</w:t>
            </w:r>
          </w:p>
          <w:p>
            <w:pPr>
              <w:keepLines/>
              <w:spacing w:before="0" w:after="20" w:line="259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综合测评  1 / 230 · 前 0.43%</w:t>
            </w:r>
          </w:p>
          <w:p>
            <w:pPr>
              <w:keepLines/>
              <w:spacing w:before="0" w:after="20" w:line="259" w:lineRule="auto"/>
            </w:pPr>
            <w:r>
              <w:rPr>
                <w:rFonts w:ascii="Calibri" w:hAnsi="Calibri" w:eastAsia="微软雅黑"/>
                <w:b w:val="0"/>
                <w:color w:val="FFFFFF"/>
                <w:sz w:val="18"/>
              </w:rPr>
              <w:t>CET-4  613</w:t>
            </w:r>
          </w:p>
          <w:p>
            <w:pPr>
              <w:keepLines/>
              <w:spacing w:before="0" w:after="20" w:line="259" w:lineRule="auto"/>
            </w:pPr>
            <w:r>
              <w:rPr>
                <w:rFonts w:ascii="Calibri" w:hAnsi="Calibri" w:eastAsia="微软雅黑"/>
                <w:b/>
                <w:color w:val="DDEBF2"/>
                <w:sz w:val="18"/>
              </w:rPr>
              <w:t>国家奖学金</w:t>
            </w:r>
          </w:p>
          <w:p>
            <w:pPr>
              <w:keepLines/>
              <w:spacing w:before="100" w:after="50" w:line="240" w:lineRule="auto"/>
              <w:pBdr>
                <w:bottom w:val="single" w:sz="5" w:space="2" w:color="DDEBF2"/>
              </w:pBdr>
            </w:pPr>
            <w:r>
              <w:rPr>
                <w:rFonts w:ascii="Calibri" w:hAnsi="Calibri" w:eastAsia="微软雅黑"/>
                <w:b/>
                <w:color w:val="DDEBF2"/>
                <w:sz w:val="20"/>
              </w:rPr>
              <w:t>研究兴趣</w:t>
            </w:r>
          </w:p>
          <w:p>
            <w:pPr>
              <w:keepLines/>
              <w:spacing w:before="0" w:after="20" w:line="259" w:lineRule="auto"/>
            </w:pPr>
            <w:r>
              <w:rPr>
                <w:rFonts w:ascii="Calibri" w:hAnsi="Calibri" w:eastAsia="微软雅黑"/>
                <w:b/>
                <w:color w:val="FFFFFF"/>
                <w:sz w:val="18"/>
              </w:rPr>
              <w:t>具身智能 · 灵巧操作</w:t>
            </w:r>
          </w:p>
          <w:p>
            <w:pPr>
              <w:keepLines/>
              <w:spacing w:before="0" w:after="20" w:line="259" w:lineRule="auto"/>
            </w:pPr>
            <w:r>
              <w:rPr>
                <w:rFonts w:ascii="Calibri" w:hAnsi="Calibri" w:eastAsia="微软雅黑"/>
                <w:b w:val="0"/>
                <w:color w:val="FFFFFF"/>
                <w:sz w:val="18"/>
              </w:rPr>
              <w:t>机器人运动重定向与学习</w:t>
            </w:r>
          </w:p>
          <w:p>
            <w:pPr>
              <w:keepLines/>
              <w:spacing w:before="0" w:after="20" w:line="259" w:lineRule="auto"/>
            </w:pPr>
            <w:r>
              <w:rPr>
                <w:rFonts w:ascii="Calibri" w:hAnsi="Calibri" w:eastAsia="微软雅黑"/>
                <w:b w:val="0"/>
                <w:color w:val="FFFFFF"/>
                <w:sz w:val="18"/>
              </w:rPr>
              <w:t>可穿戴感知与人机交互</w:t>
            </w:r>
          </w:p>
          <w:p>
            <w:pPr>
              <w:keepLines/>
              <w:spacing w:before="100" w:after="50" w:line="240" w:lineRule="auto"/>
              <w:pBdr>
                <w:bottom w:val="single" w:sz="5" w:space="2" w:color="DDEBF2"/>
              </w:pBdr>
            </w:pPr>
            <w:r>
              <w:rPr>
                <w:rFonts w:ascii="Calibri" w:hAnsi="Calibri" w:eastAsia="微软雅黑"/>
                <w:b/>
                <w:color w:val="DDEBF2"/>
                <w:sz w:val="20"/>
              </w:rPr>
              <w:t>技术能力</w:t>
            </w:r>
          </w:p>
          <w:p>
            <w:pPr>
              <w:keepLines/>
              <w:spacing w:before="0" w:after="24" w:line="259" w:lineRule="auto"/>
            </w:pPr>
            <w:r>
              <w:rPr>
                <w:rFonts w:ascii="Calibri" w:hAnsi="Calibri" w:eastAsia="微软雅黑"/>
                <w:b w:val="0"/>
                <w:color w:val="FFFFFF"/>
                <w:sz w:val="18"/>
              </w:rPr>
              <w:t>嵌入式  STM32 · Arduino · C/C++</w:t>
            </w:r>
          </w:p>
          <w:p>
            <w:pPr>
              <w:keepLines/>
              <w:spacing w:before="0" w:after="24" w:line="259" w:lineRule="auto"/>
            </w:pPr>
            <w:r>
              <w:rPr>
                <w:rFonts w:ascii="Calibri" w:hAnsi="Calibri" w:eastAsia="微软雅黑"/>
                <w:b w:val="0"/>
                <w:color w:val="FFFFFF"/>
                <w:sz w:val="18"/>
              </w:rPr>
              <w:t>算法  Python · NumPy · SciPy · sklearn</w:t>
            </w:r>
          </w:p>
          <w:p>
            <w:pPr>
              <w:keepLines/>
              <w:spacing w:before="0" w:after="24" w:line="259" w:lineRule="auto"/>
            </w:pPr>
            <w:r>
              <w:rPr>
                <w:rFonts w:ascii="Calibri" w:hAnsi="Calibri" w:eastAsia="微软雅黑"/>
                <w:b w:val="0"/>
                <w:color w:val="FFFFFF"/>
                <w:sz w:val="18"/>
              </w:rPr>
              <w:t>机器人  正逆运动学 · 雅可比 · IK</w:t>
            </w:r>
          </w:p>
          <w:p>
            <w:pPr>
              <w:keepLines/>
              <w:spacing w:before="0" w:after="24" w:line="259" w:lineRule="auto"/>
            </w:pPr>
            <w:r>
              <w:rPr>
                <w:rFonts w:ascii="Calibri" w:hAnsi="Calibri" w:eastAsia="微软雅黑"/>
                <w:b w:val="0"/>
                <w:color w:val="FFFFFF"/>
                <w:sz w:val="18"/>
              </w:rPr>
              <w:t>工程  BLE · 传感采集 · Git · Linux</w:t>
            </w:r>
          </w:p>
          <w:p>
            <w:pPr>
              <w:keepLines/>
              <w:spacing w:before="0" w:after="24" w:line="259" w:lineRule="auto"/>
            </w:pPr>
            <w:r>
              <w:rPr>
                <w:rFonts w:ascii="Calibri" w:hAnsi="Calibri" w:eastAsia="微软雅黑"/>
                <w:b w:val="0"/>
                <w:color w:val="FFFFFF"/>
                <w:sz w:val="18"/>
              </w:rPr>
              <w:t>仿真  MuJoCo</w:t>
            </w:r>
          </w:p>
          <w:p>
            <w:pPr>
              <w:keepLines/>
              <w:spacing w:before="100" w:after="50" w:line="240" w:lineRule="auto"/>
              <w:pBdr>
                <w:bottom w:val="single" w:sz="5" w:space="2" w:color="DDEBF2"/>
              </w:pBdr>
            </w:pPr>
            <w:r>
              <w:rPr>
                <w:rFonts w:ascii="Calibri" w:hAnsi="Calibri" w:eastAsia="微软雅黑"/>
                <w:b/>
                <w:color w:val="DDEBF2"/>
                <w:sz w:val="20"/>
              </w:rPr>
              <w:t>联系与作品</w:t>
            </w:r>
          </w:p>
          <w:p>
            <w:pPr>
              <w:keepLines/>
              <w:spacing w:before="0" w:after="28" w:line="259" w:lineRule="auto"/>
            </w:pPr>
            <w:r>
              <w:rPr>
                <w:rFonts w:ascii="Calibri" w:hAnsi="Calibri" w:eastAsia="微软雅黑"/>
                <w:b w:val="0"/>
                <w:color w:val="FFFFFF"/>
                <w:sz w:val="18"/>
              </w:rPr>
              <w:t>chenxuwang.chn@outlook.com</w:t>
            </w:r>
          </w:p>
          <w:p>
            <w:pPr>
              <w:keepLines/>
              <w:spacing w:before="0" w:after="28" w:line="259" w:lineRule="auto"/>
            </w:pPr>
            <w:r>
              <w:rPr>
                <w:rFonts w:ascii="Calibri" w:hAnsi="Calibri" w:eastAsia="微软雅黑"/>
                <w:b w:val="0"/>
                <w:color w:val="FFFFFF"/>
                <w:sz w:val="18"/>
              </w:rPr>
              <w:t>lucianwangchn.github.io</w:t>
            </w:r>
          </w:p>
          <w:p>
            <w:pPr>
              <w:keepLines/>
              <w:spacing w:before="0" w:after="8" w:line="259" w:lineRule="auto"/>
            </w:pPr>
            <w:r>
              <w:rPr>
                <w:rFonts w:ascii="Calibri" w:hAnsi="Calibri" w:eastAsia="微软雅黑"/>
                <w:b w:val="0"/>
                <w:color w:val="DDEBF2"/>
                <w:sz w:val="18"/>
              </w:rPr>
              <w:t>github.com/LucianWangChn</w:t>
            </w:r>
          </w:p>
        </w:tc>
        <w:tc>
          <w:tcPr>
            <w:tcW w:type="dxa" w:w="7824"/>
            <w:vAlign w:val="top"/>
            <w:tcMar>
              <w:top w:w="70" w:type="dxa"/>
              <w:start w:w="210" w:type="dxa"/>
              <w:bottom w:w="70" w:type="dxa"/>
              <w:end w:w="90" w:type="dxa"/>
            </w:tcMar>
          </w:tcPr>
          <w:p>
            <w:pPr>
              <w:keepLines/>
              <w:spacing w:before="20" w:after="10" w:line="240" w:lineRule="auto"/>
            </w:pPr>
            <w:r>
              <w:rPr>
                <w:rFonts w:ascii="Calibri" w:hAnsi="Calibri" w:eastAsia="微软雅黑"/>
                <w:b/>
                <w:color w:val="173B52"/>
                <w:sz w:val="46"/>
              </w:rPr>
              <w:t>王晨旭</w:t>
            </w:r>
            <w:r>
              <w:rPr>
                <w:rFonts w:ascii="Calibri" w:hAnsi="Calibri" w:eastAsia="Calibri"/>
                <w:b w:val="0"/>
                <w:color w:val="5B6870"/>
                <w:sz w:val="18"/>
              </w:rPr>
              <w:t xml:space="preserve">  CHENXU WANG</w:t>
            </w:r>
          </w:p>
          <w:p>
            <w:pPr>
              <w:keepLines/>
              <w:spacing w:before="0" w:after="46" w:line="240" w:lineRule="auto"/>
            </w:pPr>
            <w:r>
              <w:rPr>
                <w:rFonts w:ascii="Calibri" w:hAnsi="Calibri" w:eastAsia="微软雅黑"/>
                <w:b/>
                <w:color w:val="3B7391"/>
                <w:sz w:val="18"/>
              </w:rPr>
              <w:t>北京理工大学 · 电子信息工程本科生</w:t>
            </w:r>
          </w:p>
          <w:p>
            <w:pPr>
              <w:keepLines/>
              <w:spacing w:before="0" w:after="60" w:line="259" w:lineRule="auto"/>
            </w:pPr>
            <w:r>
              <w:rPr>
                <w:rFonts w:ascii="Calibri" w:hAnsi="Calibri" w:eastAsia="微软雅黑"/>
                <w:b w:val="0"/>
                <w:color w:val="202B31"/>
                <w:sz w:val="17"/>
              </w:rPr>
              <w:t>关注具身智能、灵巧操作与机器人学习，围绕异构手部运动映射和可穿戴感知开展运动学建模、传感采集与软硬件集成；注重量化评估、误差分析与实物联调。</w:t>
            </w:r>
          </w:p>
          <w:p>
            <w:pPr>
              <w:keepLines/>
              <w:spacing w:before="84" w:after="56" w:line="240" w:lineRule="auto"/>
              <w:pBdr>
                <w:bottom w:val="single" w:sz="8" w:space="2" w:color="78A6BC"/>
              </w:pBdr>
            </w:pPr>
            <w:r>
              <w:rPr>
                <w:rFonts w:ascii="Calibri" w:hAnsi="Calibri" w:eastAsia="微软雅黑"/>
                <w:b/>
                <w:color w:val="173B52"/>
                <w:sz w:val="20"/>
              </w:rPr>
              <w:t>科研与项目经历</w:t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5783"/>
              <w:gridCol w:w="1644"/>
            </w:tblGrid>
            <w:tr>
              <w:tc>
                <w:tcPr>
                  <w:tcW w:type="dxa" w:w="5783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vAlign w:val="center"/>
                </w:tcPr>
                <w:p>
                  <w:pPr>
                    <w:keepLines/>
                    <w:spacing w:before="0" w:after="8" w:line="240" w:lineRule="auto"/>
                  </w:pPr>
                  <w:r>
                    <w:rPr>
                      <w:rFonts w:ascii="Calibri" w:hAnsi="Calibri" w:eastAsia="微软雅黑"/>
                      <w:b/>
                      <w:color w:val="202B31"/>
                      <w:sz w:val="19"/>
                    </w:rPr>
                    <w:t>DOGlove × ORCA 灵巧手运动重定向</w:t>
                  </w:r>
                  <w:r>
                    <w:rPr>
                      <w:rFonts w:ascii="Calibri" w:hAnsi="Calibri" w:eastAsia="微软雅黑"/>
                      <w:b w:val="0"/>
                      <w:color w:val="3B7391"/>
                      <w:sz w:val="16"/>
                    </w:rPr>
                    <w:t xml:space="preserve">  |  运动学与算法研究</w:t>
                  </w:r>
                </w:p>
              </w:tc>
              <w:tc>
                <w:tcPr>
                  <w:tcW w:type="dxa" w:w="1644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vAlign w:val="center"/>
                </w:tcPr>
                <w:p>
                  <w:pPr>
                    <w:keepLines/>
                    <w:spacing w:before="0" w:after="8" w:line="240" w:lineRule="auto"/>
                    <w:jc w:val="right"/>
                  </w:pPr>
                  <w:r>
                    <w:rPr>
                      <w:rFonts w:ascii="Calibri" w:hAnsi="Calibri" w:eastAsia="微软雅黑"/>
                      <w:b w:val="0"/>
                      <w:color w:val="5B6870"/>
                      <w:sz w:val="16"/>
                    </w:rPr>
                    <w:t>2026—至今</w:t>
                  </w:r>
                </w:p>
              </w:tc>
            </w:tr>
          </w:tbl>
          <w:p/>
          <w:p>
            <w:pPr>
              <w:keepLines/>
              <w:spacing w:before="0" w:after="20" w:line="264" w:lineRule="auto"/>
            </w:pPr>
            <w:r>
              <w:rPr>
                <w:rFonts w:ascii="Calibri" w:hAnsi="Calibri" w:eastAsia="微软雅黑"/>
                <w:b w:val="0"/>
                <w:color w:val="202B31"/>
                <w:sz w:val="18"/>
              </w:rPr>
              <w:t>研究问题与方法｜人手、手套与 ORCA 的指长、关节结构和佩戴零位不同，直接复制关节角会使捏合指尖错位。每次佩戴先以平手姿态重新定零；再将手指传感角经正运动学换成掌坐标系下的指尖位移，逐指映射为 ORCA 的指尖目标，并在关节限位内用逆运动学求解。最后利用任务雅可比零空间加入弱关节姿态偏好，尽量不改变指尖目标。</w:t>
            </w:r>
          </w:p>
          <w:p>
            <w:pPr>
              <w:keepLines/>
              <w:spacing w:before="0" w:after="80" w:line="264" w:lineRule="auto"/>
            </w:pPr>
            <w:r>
              <w:rPr>
                <w:rFonts w:ascii="Calibri" w:hAnsi="Calibri" w:eastAsia="微软雅黑"/>
                <w:b w:val="0"/>
                <w:color w:val="5B6870"/>
                <w:sz w:val="18"/>
              </w:rPr>
              <w:t>实验设计与结果｜从 223 条原始记录整理出 155 条训练、50 条按姿态 ID 留出的测试和 5 条诊断数据，避免同一姿态的重复记录跨入训练与测试。在离线运动学回放中对比基础指尖 IK 与加入姿态偏好的方案：相对 ORCA 参考关节 RMSE 为 23.56°→23.20°，参考指尖平均误差为 32.22→32.05 mm，IK 目标残差为 2.84→2.86 mm。</w:t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5783"/>
              <w:gridCol w:w="1644"/>
            </w:tblGrid>
            <w:tr>
              <w:tc>
                <w:tcPr>
                  <w:tcW w:type="dxa" w:w="5783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vAlign w:val="center"/>
                </w:tcPr>
                <w:p>
                  <w:pPr>
                    <w:keepLines/>
                    <w:spacing w:before="0" w:after="8" w:line="240" w:lineRule="auto"/>
                  </w:pPr>
                  <w:r>
                    <w:rPr>
                      <w:rFonts w:ascii="Calibri" w:hAnsi="Calibri" w:eastAsia="微软雅黑"/>
                      <w:b/>
                      <w:color w:val="202B31"/>
                      <w:sz w:val="19"/>
                    </w:rPr>
                    <w:t>SIGNSPEAK 情感反馈手语手套</w:t>
                  </w:r>
                  <w:r>
                    <w:rPr>
                      <w:rFonts w:ascii="Calibri" w:hAnsi="Calibri" w:eastAsia="微软雅黑"/>
                      <w:b w:val="0"/>
                      <w:color w:val="3B7391"/>
                      <w:sz w:val="16"/>
                    </w:rPr>
                    <w:t xml:space="preserve">  |  主要研发</w:t>
                  </w:r>
                </w:p>
              </w:tc>
              <w:tc>
                <w:tcPr>
                  <w:tcW w:type="dxa" w:w="1644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vAlign w:val="center"/>
                </w:tcPr>
                <w:p>
                  <w:pPr>
                    <w:keepLines/>
                    <w:spacing w:before="0" w:after="8" w:line="240" w:lineRule="auto"/>
                    <w:jc w:val="right"/>
                  </w:pPr>
                </w:p>
              </w:tc>
            </w:tr>
          </w:tbl>
          <w:p/>
          <w:p>
            <w:pPr>
              <w:keepLines/>
              <w:spacing w:before="0" w:after="20" w:line="264" w:lineRule="auto"/>
            </w:pPr>
            <w:r>
              <w:rPr>
                <w:rFonts w:ascii="Calibri" w:hAnsi="Calibri" w:eastAsia="微软雅黑"/>
                <w:b w:val="0"/>
                <w:color w:val="202B31"/>
                <w:sz w:val="18"/>
              </w:rPr>
              <w:t>目标、方法与个人工作｜面向手势与情绪沟通，系统分两条链路：五指传感器和 MPU6050 经 BLE 采集动作，整理特征并用随机森林识别预定义手势；语音通道用 Wav2Vec2+MLP 分析声学情绪、用 ASR 转写并由 LLM 分析语义，再融合为 OLED 显示和振动反馈。除三维建模与 PPT 外，基本独立完成硬件搭建、Arduino 固件、数据采集、模型训练和程序集成。</w:t>
            </w:r>
          </w:p>
          <w:p>
            <w:pPr>
              <w:keepLines/>
              <w:spacing w:before="0" w:after="80" w:line="264" w:lineRule="auto"/>
            </w:pPr>
            <w:r>
              <w:rPr>
                <w:rFonts w:ascii="Calibri" w:hAnsi="Calibri" w:eastAsia="微软雅黑"/>
                <w:b w:val="0"/>
                <w:color w:val="5B6870"/>
                <w:sz w:val="18"/>
              </w:rPr>
              <w:t>项目成果｜完成可穿戴原型及手势采集、训练、预测链路，并集成声学/语义分析与显示、振动反馈；作品获未来设计师 NCDA 全国总决赛本科生组三等奖（第二作者）。</w:t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5783"/>
              <w:gridCol w:w="1644"/>
            </w:tblGrid>
            <w:tr>
              <w:tc>
                <w:tcPr>
                  <w:tcW w:type="dxa" w:w="5783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vAlign w:val="center"/>
                </w:tcPr>
                <w:p>
                  <w:pPr>
                    <w:keepLines/>
                    <w:spacing w:before="0" w:after="8" w:line="240" w:lineRule="auto"/>
                  </w:pPr>
                  <w:r>
                    <w:rPr>
                      <w:rFonts w:ascii="Calibri" w:hAnsi="Calibri" w:eastAsia="微软雅黑"/>
                      <w:b/>
                      <w:color w:val="202B31"/>
                      <w:sz w:val="19"/>
                    </w:rPr>
                    <w:t>星居 AI 端云协同智慧空间</w:t>
                  </w:r>
                  <w:r>
                    <w:rPr>
                      <w:rFonts w:ascii="Calibri" w:hAnsi="Calibri" w:eastAsia="微软雅黑"/>
                      <w:b w:val="0"/>
                      <w:color w:val="3B7391"/>
                      <w:sz w:val="16"/>
                    </w:rPr>
                    <w:t xml:space="preserve">  |  项目负责人</w:t>
                  </w:r>
                </w:p>
              </w:tc>
              <w:tc>
                <w:tcPr>
                  <w:tcW w:type="dxa" w:w="1644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vAlign w:val="center"/>
                </w:tcPr>
                <w:p>
                  <w:pPr>
                    <w:keepLines/>
                    <w:spacing w:before="0" w:after="8" w:line="240" w:lineRule="auto"/>
                    <w:jc w:val="right"/>
                  </w:pPr>
                </w:p>
              </w:tc>
            </w:tr>
          </w:tbl>
          <w:p/>
          <w:p>
            <w:pPr>
              <w:keepLines/>
              <w:spacing w:before="0" w:after="20" w:line="264" w:lineRule="auto"/>
            </w:pPr>
            <w:r>
              <w:rPr>
                <w:rFonts w:ascii="Calibri" w:hAnsi="Calibri" w:eastAsia="微软雅黑"/>
                <w:b w:val="0"/>
                <w:color w:val="202B31"/>
                <w:sz w:val="18"/>
              </w:rPr>
              <w:t>系统目标、实现与个人工作｜目标是把自然语言控制意图转成设备动作并反馈真实状态。负责桌面智能体、状态/偏好记忆与决策逻辑，连接华为云 IoTDA 和嵌入式设备接口，将命令解析、动作派发、设备状态回读串成端云控制链路，并协调系统联调。</w:t>
            </w:r>
          </w:p>
          <w:p>
            <w:pPr>
              <w:keepLines/>
              <w:spacing w:before="0" w:after="80" w:line="264" w:lineRule="auto"/>
            </w:pPr>
            <w:r>
              <w:rPr>
                <w:rFonts w:ascii="Calibri" w:hAnsi="Calibri" w:eastAsia="微软雅黑"/>
                <w:b w:val="0"/>
                <w:color w:val="5B6870"/>
                <w:sz w:val="18"/>
              </w:rPr>
              <w:t>项目成果｜完成端云设备联调与演示，获华为 OPC 大赛优秀奖；星居 AI 正备战中国国际大学生创新大赛省赛金奖争夺赛。</w:t>
            </w:r>
          </w:p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5783"/>
              <w:gridCol w:w="1644"/>
            </w:tblGrid>
            <w:tr>
              <w:tc>
                <w:tcPr>
                  <w:tcW w:type="dxa" w:w="5783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vAlign w:val="center"/>
                </w:tcPr>
                <w:p>
                  <w:pPr>
                    <w:keepLines/>
                    <w:spacing w:before="0" w:after="8" w:line="240" w:lineRule="auto"/>
                  </w:pPr>
                  <w:r>
                    <w:rPr>
                      <w:rFonts w:ascii="Calibri" w:hAnsi="Calibri" w:eastAsia="微软雅黑"/>
                      <w:b/>
                      <w:color w:val="202B31"/>
                      <w:sz w:val="19"/>
                    </w:rPr>
                    <w:t>屠龙勇士智能车与机器人竞赛</w:t>
                  </w:r>
                  <w:r>
                    <w:rPr>
                      <w:rFonts w:ascii="Calibri" w:hAnsi="Calibri" w:eastAsia="微软雅黑"/>
                      <w:b w:val="0"/>
                      <w:color w:val="3B7391"/>
                      <w:sz w:val="16"/>
                    </w:rPr>
                    <w:t xml:space="preserve">  |  智能车队长 · 机器人队员</w:t>
                  </w:r>
                </w:p>
              </w:tc>
              <w:tc>
                <w:tcPr>
                  <w:tcW w:type="dxa" w:w="1644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vAlign w:val="center"/>
                </w:tcPr>
                <w:p>
                  <w:pPr>
                    <w:keepLines/>
                    <w:spacing w:before="0" w:after="8" w:line="240" w:lineRule="auto"/>
                    <w:jc w:val="right"/>
                  </w:pPr>
                  <w:r>
                    <w:rPr>
                      <w:rFonts w:ascii="Calibri" w:hAnsi="Calibri" w:eastAsia="微软雅黑"/>
                      <w:b w:val="0"/>
                      <w:color w:val="5B6870"/>
                      <w:sz w:val="16"/>
                    </w:rPr>
                    <w:t>2025—2026</w:t>
                  </w:r>
                </w:p>
              </w:tc>
            </w:tr>
          </w:tbl>
          <w:p/>
          <w:p>
            <w:pPr>
              <w:keepLines/>
              <w:spacing w:before="0" w:after="20" w:line="264" w:lineRule="auto"/>
            </w:pPr>
            <w:r>
              <w:rPr>
                <w:rFonts w:ascii="Calibri" w:hAnsi="Calibri" w:eastAsia="微软雅黑"/>
                <w:b w:val="0"/>
                <w:color w:val="202B31"/>
                <w:sz w:val="18"/>
              </w:rPr>
              <w:t>工程目标、实现与个人工作｜围绕整车循迹与避障，迭代循迹/PID、蓝牙遥控、超声波避障及环岛/直角场景程序；担任屠龙队长，负责底盘、传感器与电机接入、Arduino 固件调试及赛道联调，并参与追梦杯机器人实物调试。</w:t>
            </w:r>
          </w:p>
          <w:p>
            <w:pPr>
              <w:keepLines/>
              <w:spacing w:before="0" w:after="80" w:line="264" w:lineRule="auto"/>
            </w:pPr>
            <w:r>
              <w:rPr>
                <w:rFonts w:ascii="Calibri" w:hAnsi="Calibri" w:eastAsia="微软雅黑"/>
                <w:b w:val="0"/>
                <w:color w:val="5B6870"/>
                <w:sz w:val="18"/>
              </w:rPr>
              <w:t>竞赛成果｜屠龙勇士智能车大赛校二等奖（队长）；追梦杯机器人竞赛校三等奖。</w:t>
            </w:r>
          </w:p>
          <w:p>
            <w:pPr>
              <w:keepLines/>
              <w:spacing w:before="84" w:after="56" w:line="240" w:lineRule="auto"/>
              <w:pBdr>
                <w:bottom w:val="single" w:sz="8" w:space="2" w:color="78A6BC"/>
              </w:pBdr>
            </w:pPr>
            <w:r>
              <w:rPr>
                <w:rFonts w:ascii="Calibri" w:hAnsi="Calibri" w:eastAsia="微软雅黑"/>
                <w:b/>
                <w:color w:val="173B52"/>
                <w:sz w:val="20"/>
              </w:rPr>
              <w:t>竞赛获奖与荣誉</w:t>
            </w:r>
          </w:p>
          <w:p>
            <w:pPr>
              <w:keepLines/>
              <w:spacing w:before="0" w:after="24" w:line="250" w:lineRule="auto"/>
            </w:pPr>
            <w:r>
              <w:rPr>
                <w:rFonts w:ascii="Calibri" w:hAnsi="Calibri" w:eastAsia="微软雅黑"/>
                <w:b w:val="0"/>
                <w:color w:val="202B31"/>
                <w:sz w:val="17"/>
              </w:rPr>
              <w:t>•  全国大学生光电设计竞赛华北区二等奖（第二作者）</w:t>
            </w:r>
          </w:p>
          <w:p>
            <w:pPr>
              <w:keepLines/>
              <w:spacing w:before="0" w:after="24" w:line="250" w:lineRule="auto"/>
            </w:pPr>
            <w:r>
              <w:rPr>
                <w:rFonts w:ascii="Calibri" w:hAnsi="Calibri" w:eastAsia="微软雅黑"/>
                <w:b w:val="0"/>
                <w:color w:val="202B31"/>
                <w:sz w:val="17"/>
              </w:rPr>
              <w:t>•  “青创北京·挑战杯”首都大学生创业计划竞赛三等奖（团队成员）</w:t>
            </w:r>
          </w:p>
          <w:p>
            <w:pPr>
              <w:keepLines/>
              <w:spacing w:before="0" w:after="24" w:line="250" w:lineRule="auto"/>
            </w:pPr>
            <w:r>
              <w:rPr>
                <w:rFonts w:ascii="Calibri" w:hAnsi="Calibri" w:eastAsia="微软雅黑"/>
                <w:b w:val="0"/>
                <w:color w:val="202B31"/>
                <w:sz w:val="17"/>
              </w:rPr>
              <w:t>•  《英语世界》杯本科生组全国二等奖；NETCCS C 类省级三等奖</w:t>
            </w:r>
          </w:p>
          <w:p>
            <w:pPr>
              <w:keepLines/>
              <w:spacing w:before="0" w:after="24" w:line="250" w:lineRule="auto"/>
            </w:pPr>
            <w:r>
              <w:rPr>
                <w:rFonts w:ascii="Calibri" w:hAnsi="Calibri" w:eastAsia="微软雅黑"/>
                <w:b w:val="0"/>
                <w:color w:val="202B31"/>
                <w:sz w:val="17"/>
              </w:rPr>
              <w:t>•  蓝桥杯 C/C++ 大学 A 组、码蹄杯北京赛区三等奖</w:t>
            </w:r>
          </w:p>
          <w:p>
            <w:pPr>
              <w:keepLines/>
              <w:spacing w:before="0" w:after="24" w:line="250" w:lineRule="auto"/>
            </w:pPr>
            <w:r>
              <w:rPr>
                <w:rFonts w:ascii="Calibri" w:hAnsi="Calibri" w:eastAsia="微软雅黑"/>
                <w:b w:val="0"/>
                <w:color w:val="202B31"/>
                <w:sz w:val="17"/>
              </w:rPr>
              <w:t>•  “博约杯”新生物理竞赛校一等奖</w:t>
            </w:r>
          </w:p>
        </w:tc>
      </w:tr>
    </w:tbl>
    <w:sectPr w:rsidR="00FC693F" w:rsidRPr="0006063C" w:rsidSect="00034616">
      <w:pgSz w:w="11906" w:h="16838"/>
      <w:pgMar w:top="454" w:right="454" w:bottom="454" w:left="454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52" w:lineRule="auto"/>
    </w:pPr>
    <w:rPr>
      <w:rFonts w:ascii="Calibri" w:hAnsi="Calibri" w:eastAsia="微软雅黑"/>
      <w:color w:val="202B31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王晨旭 学术与科研简历</dc:title>
  <dc:subject>具身智能与机器人方向本科生简历</dc:subject>
  <dc:creator>王晨旭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